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922D5" w14:textId="3C880352" w:rsidR="003436FE" w:rsidRPr="002B370E" w:rsidRDefault="003436FE">
      <w:pPr>
        <w:pStyle w:val="Subtitle"/>
        <w:spacing w:after="240"/>
        <w:rPr>
          <w:lang w:val="en-GB"/>
        </w:rPr>
      </w:pPr>
      <w:r w:rsidRPr="002B370E">
        <w:rPr>
          <w:lang w:val="en-GB"/>
        </w:rPr>
        <w:t xml:space="preserve">REFERENCE: </w:t>
      </w:r>
      <w:r w:rsidR="000F240E" w:rsidRPr="000F240E">
        <w:rPr>
          <w:lang w:val="en-GB"/>
        </w:rPr>
        <w:t>19-24-</w:t>
      </w:r>
      <w:r w:rsidR="00E633FE">
        <w:rPr>
          <w:lang w:val="en-GB"/>
        </w:rPr>
        <w:t>729</w:t>
      </w:r>
      <w:r w:rsidR="000F240E" w:rsidRPr="000F240E">
        <w:rPr>
          <w:lang w:val="en-GB"/>
        </w:rPr>
        <w:t>-</w:t>
      </w:r>
      <w:r w:rsidR="00755694">
        <w:rPr>
          <w:lang w:val="en-GB"/>
        </w:rPr>
        <w:t>4</w:t>
      </w:r>
      <w:r w:rsidR="00E633FE">
        <w:rPr>
          <w:lang w:val="en-GB"/>
        </w:rPr>
        <w:t>1</w:t>
      </w:r>
      <w:r w:rsidR="000F240E" w:rsidRPr="000F240E">
        <w:rPr>
          <w:lang w:val="en-GB"/>
        </w:rPr>
        <w:t>/2</w:t>
      </w:r>
      <w:r w:rsidR="00E633FE">
        <w:rPr>
          <w:lang w:val="en-GB"/>
        </w:rPr>
        <w:t>1</w:t>
      </w:r>
    </w:p>
    <w:p w14:paraId="342A24C3"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4FD12F72"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271603C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129AC6B4"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56C594B9"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7434F38D" w14:textId="77777777" w:rsidTr="00010683">
        <w:tc>
          <w:tcPr>
            <w:tcW w:w="4820" w:type="dxa"/>
            <w:tcBorders>
              <w:bottom w:val="nil"/>
            </w:tcBorders>
          </w:tcPr>
          <w:p w14:paraId="74E752EC" w14:textId="77777777" w:rsidR="003436FE" w:rsidRPr="002B370E" w:rsidRDefault="003436FE">
            <w:pPr>
              <w:rPr>
                <w:sz w:val="22"/>
                <w:szCs w:val="22"/>
              </w:rPr>
            </w:pPr>
          </w:p>
        </w:tc>
        <w:tc>
          <w:tcPr>
            <w:tcW w:w="1972" w:type="dxa"/>
            <w:shd w:val="pct10" w:color="auto" w:fill="FFFFFF"/>
          </w:tcPr>
          <w:p w14:paraId="6965202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678F0162" w14:textId="77777777" w:rsidR="003436FE" w:rsidRPr="002B370E" w:rsidRDefault="003436FE">
            <w:pPr>
              <w:jc w:val="center"/>
              <w:rPr>
                <w:b/>
                <w:sz w:val="22"/>
                <w:szCs w:val="22"/>
              </w:rPr>
            </w:pPr>
            <w:r w:rsidRPr="002B370E">
              <w:rPr>
                <w:b/>
                <w:sz w:val="22"/>
                <w:szCs w:val="22"/>
              </w:rPr>
              <w:t>TIME*</w:t>
            </w:r>
          </w:p>
        </w:tc>
      </w:tr>
      <w:tr w:rsidR="003436FE" w:rsidRPr="002B370E" w14:paraId="5D158B6A" w14:textId="77777777" w:rsidTr="00010683">
        <w:tc>
          <w:tcPr>
            <w:tcW w:w="4820" w:type="dxa"/>
            <w:shd w:val="pct10" w:color="auto" w:fill="FFFFFF"/>
          </w:tcPr>
          <w:p w14:paraId="2E705818"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26F04B8A" w14:textId="09734054" w:rsidR="003436FE" w:rsidRPr="002B370E" w:rsidRDefault="00E633FE">
            <w:pPr>
              <w:spacing w:before="120" w:after="120"/>
              <w:jc w:val="center"/>
              <w:rPr>
                <w:sz w:val="22"/>
                <w:szCs w:val="22"/>
              </w:rPr>
            </w:pPr>
            <w:r>
              <w:rPr>
                <w:sz w:val="22"/>
                <w:szCs w:val="22"/>
              </w:rPr>
              <w:t>28</w:t>
            </w:r>
            <w:r w:rsidR="000F240E">
              <w:rPr>
                <w:sz w:val="22"/>
                <w:szCs w:val="22"/>
              </w:rPr>
              <w:t>/</w:t>
            </w:r>
            <w:r>
              <w:rPr>
                <w:sz w:val="22"/>
                <w:szCs w:val="22"/>
              </w:rPr>
              <w:t>09</w:t>
            </w:r>
            <w:r w:rsidR="000F240E">
              <w:rPr>
                <w:sz w:val="22"/>
                <w:szCs w:val="22"/>
              </w:rPr>
              <w:t>/202</w:t>
            </w:r>
            <w:r>
              <w:rPr>
                <w:sz w:val="22"/>
                <w:szCs w:val="22"/>
              </w:rPr>
              <w:t>1</w:t>
            </w:r>
          </w:p>
        </w:tc>
        <w:tc>
          <w:tcPr>
            <w:tcW w:w="1572" w:type="dxa"/>
          </w:tcPr>
          <w:p w14:paraId="6B8EB729" w14:textId="77777777" w:rsidR="003436FE" w:rsidRPr="002B370E" w:rsidRDefault="000F240E">
            <w:pPr>
              <w:spacing w:before="120" w:after="120"/>
              <w:jc w:val="center"/>
              <w:rPr>
                <w:sz w:val="22"/>
                <w:szCs w:val="22"/>
              </w:rPr>
            </w:pPr>
            <w:r>
              <w:rPr>
                <w:sz w:val="22"/>
                <w:szCs w:val="22"/>
              </w:rPr>
              <w:t>16:00</w:t>
            </w:r>
          </w:p>
        </w:tc>
      </w:tr>
      <w:tr w:rsidR="003436FE" w:rsidRPr="002B370E" w14:paraId="17EA308C" w14:textId="77777777" w:rsidTr="00010683">
        <w:tc>
          <w:tcPr>
            <w:tcW w:w="4820" w:type="dxa"/>
            <w:shd w:val="pct10" w:color="auto" w:fill="FFFFFF"/>
          </w:tcPr>
          <w:p w14:paraId="1E925486"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6EC16B8C" w14:textId="57A1178B" w:rsidR="003436FE" w:rsidRPr="002B370E" w:rsidRDefault="00E633FE">
            <w:pPr>
              <w:spacing w:before="120" w:after="120"/>
              <w:jc w:val="center"/>
              <w:rPr>
                <w:sz w:val="22"/>
                <w:szCs w:val="22"/>
              </w:rPr>
            </w:pPr>
            <w:r>
              <w:rPr>
                <w:sz w:val="22"/>
                <w:szCs w:val="22"/>
              </w:rPr>
              <w:t>01</w:t>
            </w:r>
            <w:r w:rsidR="000F240E">
              <w:rPr>
                <w:sz w:val="22"/>
                <w:szCs w:val="22"/>
              </w:rPr>
              <w:t>/</w:t>
            </w:r>
            <w:r>
              <w:rPr>
                <w:sz w:val="22"/>
                <w:szCs w:val="22"/>
              </w:rPr>
              <w:t>10</w:t>
            </w:r>
            <w:r w:rsidR="000F240E">
              <w:rPr>
                <w:sz w:val="22"/>
                <w:szCs w:val="22"/>
              </w:rPr>
              <w:t>/202</w:t>
            </w:r>
            <w:r>
              <w:rPr>
                <w:sz w:val="22"/>
                <w:szCs w:val="22"/>
              </w:rPr>
              <w:t>1</w:t>
            </w:r>
          </w:p>
        </w:tc>
        <w:tc>
          <w:tcPr>
            <w:tcW w:w="1572" w:type="dxa"/>
          </w:tcPr>
          <w:p w14:paraId="0D47D605"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74F35063" w14:textId="77777777" w:rsidTr="00010683">
        <w:tc>
          <w:tcPr>
            <w:tcW w:w="4820" w:type="dxa"/>
            <w:shd w:val="pct10" w:color="auto" w:fill="FFFFFF"/>
          </w:tcPr>
          <w:p w14:paraId="0E551D37"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724E7CDA" w14:textId="7B7977EB" w:rsidR="003436FE" w:rsidRPr="002B370E" w:rsidRDefault="00E633FE">
            <w:pPr>
              <w:spacing w:before="120" w:after="120"/>
              <w:jc w:val="center"/>
              <w:rPr>
                <w:sz w:val="22"/>
                <w:szCs w:val="22"/>
              </w:rPr>
            </w:pPr>
            <w:r>
              <w:rPr>
                <w:sz w:val="22"/>
                <w:szCs w:val="22"/>
              </w:rPr>
              <w:t>12</w:t>
            </w:r>
            <w:r w:rsidR="000F240E">
              <w:rPr>
                <w:sz w:val="22"/>
                <w:szCs w:val="22"/>
              </w:rPr>
              <w:t>/1</w:t>
            </w:r>
            <w:r>
              <w:rPr>
                <w:sz w:val="22"/>
                <w:szCs w:val="22"/>
              </w:rPr>
              <w:t>0</w:t>
            </w:r>
            <w:r w:rsidR="000F240E">
              <w:rPr>
                <w:sz w:val="22"/>
                <w:szCs w:val="22"/>
              </w:rPr>
              <w:t>/202</w:t>
            </w:r>
            <w:r>
              <w:rPr>
                <w:sz w:val="22"/>
                <w:szCs w:val="22"/>
              </w:rPr>
              <w:t>1</w:t>
            </w:r>
          </w:p>
        </w:tc>
        <w:tc>
          <w:tcPr>
            <w:tcW w:w="1572" w:type="dxa"/>
          </w:tcPr>
          <w:p w14:paraId="4818A80A" w14:textId="77777777" w:rsidR="003436FE" w:rsidRPr="002B370E" w:rsidRDefault="000F240E">
            <w:pPr>
              <w:spacing w:before="120" w:after="120"/>
              <w:jc w:val="center"/>
              <w:rPr>
                <w:sz w:val="22"/>
                <w:szCs w:val="22"/>
              </w:rPr>
            </w:pPr>
            <w:r>
              <w:rPr>
                <w:sz w:val="22"/>
                <w:szCs w:val="22"/>
              </w:rPr>
              <w:t>16:00</w:t>
            </w:r>
          </w:p>
        </w:tc>
      </w:tr>
      <w:tr w:rsidR="003436FE" w:rsidRPr="002B370E" w14:paraId="402B9522" w14:textId="77777777" w:rsidTr="000F240E">
        <w:tc>
          <w:tcPr>
            <w:tcW w:w="4820" w:type="dxa"/>
            <w:shd w:val="pct10" w:color="auto" w:fill="FFFFFF"/>
          </w:tcPr>
          <w:p w14:paraId="355FCE1E"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shd w:val="clear" w:color="auto" w:fill="auto"/>
          </w:tcPr>
          <w:p w14:paraId="37731AF5" w14:textId="77777777" w:rsidR="003436FE" w:rsidRPr="002B370E" w:rsidRDefault="003436FE" w:rsidP="003436FE">
            <w:pPr>
              <w:spacing w:before="120" w:after="120"/>
              <w:jc w:val="center"/>
              <w:rPr>
                <w:sz w:val="22"/>
                <w:szCs w:val="22"/>
              </w:rPr>
            </w:pPr>
            <w:r w:rsidRPr="000F240E">
              <w:rPr>
                <w:sz w:val="22"/>
                <w:szCs w:val="22"/>
              </w:rPr>
              <w:t>Not applicable</w:t>
            </w:r>
          </w:p>
        </w:tc>
        <w:tc>
          <w:tcPr>
            <w:tcW w:w="1572" w:type="dxa"/>
          </w:tcPr>
          <w:p w14:paraId="55DDFC7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22D6FFEE" w14:textId="77777777" w:rsidTr="00010683">
        <w:tc>
          <w:tcPr>
            <w:tcW w:w="4820" w:type="dxa"/>
            <w:shd w:val="pct10" w:color="auto" w:fill="FFFFFF"/>
          </w:tcPr>
          <w:p w14:paraId="630517C2"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556D6895" w14:textId="0B0A6EBD" w:rsidR="003436FE" w:rsidRPr="002B370E" w:rsidRDefault="00E633FE">
            <w:pPr>
              <w:spacing w:before="120" w:after="120"/>
              <w:jc w:val="center"/>
              <w:rPr>
                <w:sz w:val="22"/>
                <w:szCs w:val="22"/>
              </w:rPr>
            </w:pPr>
            <w:r>
              <w:rPr>
                <w:sz w:val="22"/>
                <w:szCs w:val="22"/>
              </w:rPr>
              <w:t>13</w:t>
            </w:r>
            <w:r w:rsidR="000F240E">
              <w:rPr>
                <w:sz w:val="22"/>
                <w:szCs w:val="22"/>
              </w:rPr>
              <w:t>/</w:t>
            </w:r>
            <w:r>
              <w:rPr>
                <w:sz w:val="22"/>
                <w:szCs w:val="22"/>
              </w:rPr>
              <w:t>10</w:t>
            </w:r>
            <w:r w:rsidR="000F240E">
              <w:rPr>
                <w:sz w:val="22"/>
                <w:szCs w:val="22"/>
              </w:rPr>
              <w:t>/202</w:t>
            </w:r>
            <w:r>
              <w:rPr>
                <w:sz w:val="22"/>
                <w:szCs w:val="22"/>
              </w:rPr>
              <w:t>1</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615206AD"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5E8313E2" w14:textId="77777777" w:rsidTr="00010683">
        <w:tc>
          <w:tcPr>
            <w:tcW w:w="4820" w:type="dxa"/>
            <w:shd w:val="pct10" w:color="auto" w:fill="FFFFFF"/>
          </w:tcPr>
          <w:p w14:paraId="2D250236"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7FD2A6A8" w14:textId="7FC52213" w:rsidR="003436FE" w:rsidRPr="002B370E" w:rsidRDefault="00E633FE">
            <w:pPr>
              <w:spacing w:before="120" w:after="120"/>
              <w:jc w:val="center"/>
              <w:rPr>
                <w:sz w:val="22"/>
                <w:szCs w:val="22"/>
              </w:rPr>
            </w:pPr>
            <w:r>
              <w:rPr>
                <w:sz w:val="22"/>
                <w:szCs w:val="22"/>
              </w:rPr>
              <w:t>13</w:t>
            </w:r>
            <w:r w:rsidR="000F240E">
              <w:rPr>
                <w:sz w:val="22"/>
                <w:szCs w:val="22"/>
              </w:rPr>
              <w:t>/</w:t>
            </w:r>
            <w:r>
              <w:rPr>
                <w:sz w:val="22"/>
                <w:szCs w:val="22"/>
              </w:rPr>
              <w:t>10</w:t>
            </w:r>
            <w:r w:rsidR="000F240E">
              <w:rPr>
                <w:sz w:val="22"/>
                <w:szCs w:val="22"/>
              </w:rPr>
              <w:t>/202</w:t>
            </w:r>
            <w:r>
              <w:rPr>
                <w:sz w:val="22"/>
                <w:szCs w:val="22"/>
              </w:rPr>
              <w:t>1</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F508174"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6A8F7B86" w14:textId="77777777" w:rsidTr="00010683">
        <w:tc>
          <w:tcPr>
            <w:tcW w:w="4820" w:type="dxa"/>
            <w:shd w:val="pct10" w:color="auto" w:fill="FFFFFF"/>
          </w:tcPr>
          <w:p w14:paraId="659EAFA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13C55863" w14:textId="0246B771" w:rsidR="003436FE" w:rsidRPr="002B370E" w:rsidRDefault="00E633FE">
            <w:pPr>
              <w:spacing w:before="120" w:after="120"/>
              <w:jc w:val="center"/>
              <w:rPr>
                <w:sz w:val="22"/>
                <w:szCs w:val="22"/>
              </w:rPr>
            </w:pPr>
            <w:r>
              <w:rPr>
                <w:sz w:val="22"/>
                <w:szCs w:val="22"/>
              </w:rPr>
              <w:t>18</w:t>
            </w:r>
            <w:r w:rsidR="000F240E">
              <w:rPr>
                <w:sz w:val="22"/>
                <w:szCs w:val="22"/>
              </w:rPr>
              <w:t>/</w:t>
            </w:r>
            <w:r>
              <w:rPr>
                <w:sz w:val="22"/>
                <w:szCs w:val="22"/>
              </w:rPr>
              <w:t>10</w:t>
            </w:r>
            <w:r w:rsidR="000F240E">
              <w:rPr>
                <w:sz w:val="22"/>
                <w:szCs w:val="22"/>
              </w:rPr>
              <w:t>/202</w:t>
            </w:r>
            <w:r>
              <w:rPr>
                <w:sz w:val="22"/>
                <w:szCs w:val="22"/>
              </w:rPr>
              <w:t>1</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14DC82B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17273808" w14:textId="77777777" w:rsidTr="00010683">
        <w:tc>
          <w:tcPr>
            <w:tcW w:w="4820" w:type="dxa"/>
            <w:shd w:val="pct10" w:color="auto" w:fill="FFFFFF"/>
          </w:tcPr>
          <w:p w14:paraId="1D82A3BD"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37D05E41" w14:textId="61B9FF6A" w:rsidR="003436FE" w:rsidRPr="002B370E" w:rsidRDefault="00E633FE">
            <w:pPr>
              <w:spacing w:before="120" w:after="120"/>
              <w:jc w:val="center"/>
              <w:rPr>
                <w:sz w:val="22"/>
                <w:szCs w:val="22"/>
              </w:rPr>
            </w:pPr>
            <w:r>
              <w:rPr>
                <w:sz w:val="22"/>
                <w:szCs w:val="22"/>
              </w:rPr>
              <w:t>18</w:t>
            </w:r>
            <w:r w:rsidR="000F240E">
              <w:rPr>
                <w:sz w:val="22"/>
                <w:szCs w:val="22"/>
              </w:rPr>
              <w:t>/1</w:t>
            </w:r>
            <w:r>
              <w:rPr>
                <w:sz w:val="22"/>
                <w:szCs w:val="22"/>
              </w:rPr>
              <w:t>0</w:t>
            </w:r>
            <w:r w:rsidR="000F240E">
              <w:rPr>
                <w:sz w:val="22"/>
                <w:szCs w:val="22"/>
              </w:rPr>
              <w:t>/202</w:t>
            </w:r>
            <w:r>
              <w:rPr>
                <w:sz w:val="22"/>
                <w:szCs w:val="22"/>
              </w:rPr>
              <w:t>1</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FBCC039" w14:textId="77777777" w:rsidR="003436FE" w:rsidRPr="002B370E" w:rsidRDefault="003436FE">
            <w:pPr>
              <w:spacing w:before="120" w:after="120"/>
              <w:jc w:val="center"/>
              <w:rPr>
                <w:sz w:val="22"/>
                <w:szCs w:val="22"/>
              </w:rPr>
            </w:pPr>
            <w:r w:rsidRPr="002B370E">
              <w:rPr>
                <w:sz w:val="22"/>
                <w:szCs w:val="22"/>
              </w:rPr>
              <w:t>-</w:t>
            </w:r>
          </w:p>
        </w:tc>
      </w:tr>
    </w:tbl>
    <w:p w14:paraId="569D3EE8"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6983265E"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6763C70D"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w:t>
      </w:r>
      <w:r w:rsidR="00156139" w:rsidRPr="00156139">
        <w:rPr>
          <w:sz w:val="22"/>
          <w:szCs w:val="22"/>
        </w:rPr>
        <w:t>is open only to the eligible tenderers. For the eligibility, please see point 10 of the contract notice</w:t>
      </w:r>
      <w:r w:rsidR="000955FE">
        <w:rPr>
          <w:sz w:val="22"/>
          <w:szCs w:val="22"/>
        </w:rPr>
        <w:t xml:space="preserve">. </w:t>
      </w:r>
    </w:p>
    <w:p w14:paraId="79D834EE"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76738E49"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w:t>
      </w:r>
      <w:r w:rsidR="003436FE" w:rsidRPr="002B370E">
        <w:rPr>
          <w:sz w:val="22"/>
          <w:szCs w:val="22"/>
        </w:rPr>
        <w:lastRenderedPageBreak/>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4A26823A" w14:textId="77777777"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14:paraId="425EC0B7" w14:textId="77777777" w:rsidR="00274385" w:rsidRPr="00694874" w:rsidRDefault="00D66CD2" w:rsidP="00274385">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00F20">
        <w:rPr>
          <w:sz w:val="22"/>
          <w:szCs w:val="22"/>
        </w:rPr>
        <w:t>Subcontracting is allowed</w:t>
      </w:r>
      <w:r>
        <w:rPr>
          <w:sz w:val="22"/>
          <w:szCs w:val="22"/>
        </w:rPr>
        <w:t xml:space="preserve"> but t</w:t>
      </w:r>
      <w:r w:rsidRPr="00200F20">
        <w:rPr>
          <w:sz w:val="22"/>
          <w:szCs w:val="22"/>
        </w:rPr>
        <w:t>he contractor will retain full liability towards the contracting authority for performance of the contract as a whole.</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r w:rsidRPr="00200F20">
        <w:rPr>
          <w:sz w:val="22"/>
          <w:szCs w:val="22"/>
        </w:rPr>
        <w:t xml:space="preserve"> </w:t>
      </w:r>
    </w:p>
    <w:p w14:paraId="4813F78F"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p>
    <w:p w14:paraId="410D02F0"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854CFF">
        <w:rPr>
          <w:sz w:val="22"/>
          <w:szCs w:val="22"/>
        </w:rPr>
        <w:t xml:space="preserve">and capacity providing entities </w:t>
      </w:r>
      <w:r w:rsidRPr="00632671">
        <w:rPr>
          <w:sz w:val="22"/>
          <w:szCs w:val="22"/>
        </w:rPr>
        <w:t>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14:paraId="2B3690CC"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675DB341"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10A33C5B" w14:textId="77777777" w:rsidR="00C3476D" w:rsidRDefault="00C3476D" w:rsidP="003436FE">
      <w:pPr>
        <w:widowControl w:val="0"/>
        <w:spacing w:before="120" w:after="120"/>
        <w:jc w:val="both"/>
        <w:rPr>
          <w:sz w:val="22"/>
          <w:szCs w:val="22"/>
        </w:rPr>
      </w:pPr>
      <w:r w:rsidRPr="00C3476D">
        <w:rPr>
          <w:sz w:val="22"/>
          <w:szCs w:val="22"/>
        </w:rPr>
        <w:t>Supporting documents and printed literature furnished by the tenderer may be in another official language of the EU. For the purposes of interpreting the tender, the language of the procedure has precedence.</w:t>
      </w:r>
    </w:p>
    <w:p w14:paraId="33948A5A" w14:textId="6594984A"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and </w:t>
      </w:r>
      <w:r w:rsidR="004F6F8A">
        <w:rPr>
          <w:sz w:val="22"/>
          <w:szCs w:val="22"/>
        </w:rPr>
        <w:t>2</w:t>
      </w:r>
      <w:r w:rsidRPr="002B370E">
        <w:rPr>
          <w:sz w:val="22"/>
          <w:szCs w:val="22"/>
        </w:rPr>
        <w:t xml:space="preserve"> copies, each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648C67D3"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7977EE47"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08FD17D3"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7087C135" w14:textId="20B2E5F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 using the format attached to the tender submission form</w:t>
      </w:r>
      <w:r w:rsidRPr="00D26233">
        <w:rPr>
          <w:sz w:val="22"/>
          <w:szCs w:val="22"/>
        </w:rPr>
        <w:t>.</w:t>
      </w:r>
    </w:p>
    <w:p w14:paraId="230BFA01"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D82B3A2"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3A321B54"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lastRenderedPageBreak/>
        <w:t xml:space="preserve">Duly authorised signature: an official document (statutes, power of attorney, notary statement, etc.) proving that the person who signs on behalf of the company/joint venture/consortium is duly authorised to do so. </w:t>
      </w:r>
    </w:p>
    <w:p w14:paraId="2F4F3850"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0D3023E4" w14:textId="77777777" w:rsidR="00396D4A" w:rsidRPr="002B370E" w:rsidRDefault="00396D4A" w:rsidP="00632671">
      <w:pPr>
        <w:pStyle w:val="BodyTextIndent"/>
        <w:spacing w:before="120"/>
        <w:rPr>
          <w:sz w:val="22"/>
          <w:szCs w:val="22"/>
        </w:rPr>
      </w:pPr>
      <w:r w:rsidRPr="00C53A7B">
        <w:rPr>
          <w:sz w:val="22"/>
          <w:szCs w:val="22"/>
        </w:rPr>
        <w:t>(</w:t>
      </w:r>
      <w:r w:rsidR="004F6F8A">
        <w:rPr>
          <w:sz w:val="22"/>
          <w:szCs w:val="22"/>
        </w:rPr>
        <w:t>3</w:t>
      </w:r>
      <w:r w:rsidRPr="00C53A7B">
        <w:rPr>
          <w:sz w:val="22"/>
          <w:szCs w:val="22"/>
        </w:rPr>
        <w:t>)</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0ADD989B" w14:textId="0DEC0111" w:rsidR="003436FE" w:rsidRPr="002B370E" w:rsidRDefault="00010683" w:rsidP="003436FE">
      <w:pPr>
        <w:pStyle w:val="BodyTextIndent"/>
        <w:tabs>
          <w:tab w:val="clear" w:pos="567"/>
        </w:tabs>
        <w:spacing w:before="120"/>
        <w:rPr>
          <w:sz w:val="22"/>
          <w:szCs w:val="22"/>
        </w:rPr>
      </w:pPr>
      <w:r>
        <w:rPr>
          <w:sz w:val="22"/>
          <w:szCs w:val="22"/>
        </w:rPr>
        <w:t>(</w:t>
      </w:r>
      <w:r w:rsidR="004F6F8A">
        <w:rPr>
          <w:sz w:val="22"/>
          <w:szCs w:val="22"/>
        </w:rPr>
        <w:t>4</w:t>
      </w:r>
      <w:r>
        <w:rPr>
          <w:sz w:val="22"/>
          <w:szCs w:val="22"/>
        </w:rPr>
        <w:t>)</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xml:space="preserve">, 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72341D51"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718DDF1E" w14:textId="77777777" w:rsidR="003121C6" w:rsidRDefault="003121C6" w:rsidP="008F615F">
      <w:pPr>
        <w:spacing w:before="120" w:after="120"/>
        <w:ind w:left="567" w:hanging="567"/>
        <w:jc w:val="both"/>
        <w:rPr>
          <w:color w:val="000000"/>
          <w:sz w:val="22"/>
          <w:szCs w:val="22"/>
        </w:rPr>
      </w:pPr>
      <w:r>
        <w:rPr>
          <w:color w:val="000000"/>
          <w:sz w:val="22"/>
          <w:szCs w:val="22"/>
        </w:rPr>
        <w:t>(</w:t>
      </w:r>
      <w:r w:rsidR="008F615F">
        <w:rPr>
          <w:color w:val="000000"/>
          <w:sz w:val="22"/>
          <w:szCs w:val="22"/>
        </w:rPr>
        <w:t>5</w:t>
      </w:r>
      <w:r>
        <w:rPr>
          <w:color w:val="000000"/>
          <w:sz w:val="22"/>
          <w:szCs w:val="22"/>
        </w:rPr>
        <w:t>)</w:t>
      </w:r>
      <w:r w:rsidR="00010683">
        <w:rPr>
          <w:color w:val="000000"/>
          <w:sz w:val="22"/>
          <w:szCs w:val="22"/>
        </w:rPr>
        <w:tab/>
      </w:r>
      <w:r w:rsidR="001B2CA6" w:rsidRPr="008F615F">
        <w:rPr>
          <w:color w:val="000000"/>
          <w:sz w:val="22"/>
          <w:szCs w:val="22"/>
        </w:rPr>
        <w:t xml:space="preserve">No documentary evidence of the selection criteria in point 16 of the contract notice </w:t>
      </w:r>
      <w:r w:rsidR="00843423" w:rsidRPr="008F615F">
        <w:rPr>
          <w:color w:val="000000"/>
          <w:sz w:val="22"/>
          <w:szCs w:val="22"/>
        </w:rPr>
        <w:t xml:space="preserve">shall </w:t>
      </w:r>
      <w:r w:rsidR="001B2CA6" w:rsidRPr="008F615F">
        <w:rPr>
          <w:color w:val="000000"/>
          <w:sz w:val="22"/>
          <w:szCs w:val="22"/>
        </w:rPr>
        <w:t>be submitted but no pre-financing will be granted.</w:t>
      </w:r>
    </w:p>
    <w:p w14:paraId="4F025FFD"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292953DD" w14:textId="77777777" w:rsidR="003436FE" w:rsidRPr="002B370E" w:rsidRDefault="00E22E88" w:rsidP="003436FE">
      <w:pPr>
        <w:spacing w:before="120" w:after="120"/>
        <w:jc w:val="both"/>
        <w:rPr>
          <w:sz w:val="22"/>
          <w:szCs w:val="22"/>
        </w:rPr>
      </w:pPr>
      <w:r w:rsidRPr="00574D7A">
        <w:rPr>
          <w:sz w:val="22"/>
          <w:szCs w:val="22"/>
        </w:rPr>
        <w:t>T</w:t>
      </w:r>
      <w:r w:rsidR="003436FE" w:rsidRPr="00574D7A">
        <w:rPr>
          <w:sz w:val="22"/>
          <w:szCs w:val="22"/>
        </w:rPr>
        <w: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14:paraId="31830ECB"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0BDB3C7E" w14:textId="77777777" w:rsidR="008531BA" w:rsidRPr="00090421" w:rsidRDefault="003436FE" w:rsidP="003436FE">
      <w:pPr>
        <w:shd w:val="clear" w:color="auto" w:fill="FFFFFF"/>
        <w:spacing w:before="120" w:after="120"/>
        <w:jc w:val="both"/>
        <w:rPr>
          <w:sz w:val="22"/>
          <w:szCs w:val="22"/>
        </w:rPr>
      </w:pPr>
      <w:r w:rsidRPr="00090421">
        <w:rPr>
          <w:sz w:val="22"/>
          <w:szCs w:val="22"/>
        </w:rPr>
        <w:t xml:space="preserve">The </w:t>
      </w:r>
      <w:r w:rsidR="00543D27" w:rsidRPr="00090421">
        <w:rPr>
          <w:sz w:val="22"/>
          <w:szCs w:val="22"/>
        </w:rPr>
        <w:t>f</w:t>
      </w:r>
      <w:r w:rsidRPr="00090421">
        <w:rPr>
          <w:sz w:val="22"/>
          <w:szCs w:val="22"/>
        </w:rPr>
        <w:t xml:space="preserve">inancial offer must be presented as an amount in </w:t>
      </w:r>
      <w:r w:rsidR="00090421" w:rsidRPr="00090421">
        <w:rPr>
          <w:sz w:val="22"/>
          <w:szCs w:val="22"/>
        </w:rPr>
        <w:t>BAM</w:t>
      </w:r>
      <w:r w:rsidRPr="00090421">
        <w:rPr>
          <w:rStyle w:val="FootnoteReference"/>
        </w:rPr>
        <w:footnoteReference w:id="2"/>
      </w:r>
      <w:r w:rsidRPr="00090421">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14:paraId="74AC70D5" w14:textId="77777777" w:rsidR="005F1DD5" w:rsidRPr="00090421" w:rsidRDefault="00627416" w:rsidP="003436FE">
      <w:pPr>
        <w:shd w:val="clear" w:color="auto" w:fill="FFFFFF"/>
        <w:spacing w:before="120" w:after="120"/>
        <w:jc w:val="both"/>
        <w:rPr>
          <w:color w:val="0000FF"/>
          <w:sz w:val="22"/>
          <w:szCs w:val="22"/>
        </w:rPr>
      </w:pPr>
      <w:hyperlink r:id="rId9" w:history="1">
        <w:r w:rsidR="00996707" w:rsidRPr="00090421">
          <w:rPr>
            <w:rStyle w:val="Hyperlink"/>
            <w:sz w:val="22"/>
            <w:szCs w:val="22"/>
          </w:rPr>
          <w:t>http://ec.europa.eu/europeaid/prag/document.do</w:t>
        </w:r>
      </w:hyperlink>
      <w:r w:rsidR="005D1583" w:rsidRPr="00090421">
        <w:rPr>
          <w:sz w:val="22"/>
          <w:szCs w:val="22"/>
        </w:rPr>
        <w:t>.</w:t>
      </w:r>
    </w:p>
    <w:p w14:paraId="16718B06" w14:textId="77777777" w:rsidR="003436FE" w:rsidRPr="002B370E" w:rsidRDefault="003436FE" w:rsidP="003436FE">
      <w:pPr>
        <w:shd w:val="clear" w:color="auto" w:fill="FFFFFF"/>
        <w:spacing w:before="120" w:after="120"/>
        <w:jc w:val="both"/>
        <w:rPr>
          <w:sz w:val="22"/>
          <w:szCs w:val="22"/>
        </w:rPr>
      </w:pPr>
      <w:r w:rsidRPr="00090421">
        <w:rPr>
          <w:sz w:val="22"/>
          <w:szCs w:val="22"/>
        </w:rPr>
        <w:t xml:space="preserve">The global price </w:t>
      </w:r>
      <w:r w:rsidR="008531BA" w:rsidRPr="00090421">
        <w:rPr>
          <w:sz w:val="22"/>
          <w:szCs w:val="22"/>
        </w:rPr>
        <w:t>may</w:t>
      </w:r>
      <w:r w:rsidRPr="00090421">
        <w:rPr>
          <w:sz w:val="22"/>
          <w:szCs w:val="22"/>
        </w:rPr>
        <w:t xml:space="preserve"> be broken down </w:t>
      </w:r>
      <w:r w:rsidR="008531BA" w:rsidRPr="00090421">
        <w:rPr>
          <w:sz w:val="22"/>
          <w:szCs w:val="22"/>
        </w:rPr>
        <w:t xml:space="preserve">by outputs if required from the </w:t>
      </w:r>
      <w:r w:rsidR="00543D27" w:rsidRPr="00090421">
        <w:rPr>
          <w:sz w:val="22"/>
          <w:szCs w:val="22"/>
        </w:rPr>
        <w:t>t</w:t>
      </w:r>
      <w:r w:rsidR="008531BA" w:rsidRPr="00090421">
        <w:rPr>
          <w:sz w:val="22"/>
          <w:szCs w:val="22"/>
        </w:rPr>
        <w:t xml:space="preserve">erms of </w:t>
      </w:r>
      <w:r w:rsidR="00543D27" w:rsidRPr="00090421">
        <w:rPr>
          <w:sz w:val="22"/>
          <w:szCs w:val="22"/>
        </w:rPr>
        <w:t>r</w:t>
      </w:r>
      <w:r w:rsidR="008531BA" w:rsidRPr="00090421">
        <w:rPr>
          <w:sz w:val="22"/>
          <w:szCs w:val="22"/>
        </w:rPr>
        <w:t>eference</w:t>
      </w:r>
      <w:r w:rsidRPr="00090421">
        <w:rPr>
          <w:sz w:val="22"/>
          <w:szCs w:val="22"/>
        </w:rPr>
        <w:t>.</w:t>
      </w:r>
    </w:p>
    <w:p w14:paraId="1CEF3189" w14:textId="77777777" w:rsidR="00090421" w:rsidRDefault="00E22E88" w:rsidP="003436FE">
      <w:pPr>
        <w:shd w:val="clear" w:color="auto" w:fill="FFFFFF"/>
        <w:spacing w:before="120" w:after="120"/>
        <w:jc w:val="both"/>
        <w:rPr>
          <w:sz w:val="22"/>
          <w:szCs w:val="22"/>
        </w:rPr>
      </w:pPr>
      <w:r w:rsidRPr="00090421">
        <w:rPr>
          <w:sz w:val="22"/>
          <w:szCs w:val="22"/>
        </w:rPr>
        <w:t>T</w:t>
      </w:r>
      <w:r w:rsidR="003436FE" w:rsidRPr="00090421">
        <w:rPr>
          <w:sz w:val="22"/>
          <w:szCs w:val="22"/>
        </w:rPr>
        <w:t xml:space="preserve">he electronic version of the financial offer must be included with the printed version in the separate envelope in which the financial offer is submitted. If there are any discrepancies between the electronic version and the original, printed version, the latter will have precedence. </w:t>
      </w:r>
    </w:p>
    <w:p w14:paraId="1F4C0BC5" w14:textId="512E90E9" w:rsidR="003436FE" w:rsidRPr="002B370E" w:rsidRDefault="003436FE" w:rsidP="003436FE">
      <w:pPr>
        <w:shd w:val="clear" w:color="auto" w:fill="FFFFFF"/>
        <w:spacing w:before="120" w:after="120"/>
        <w:jc w:val="both"/>
        <w:rPr>
          <w:sz w:val="22"/>
          <w:szCs w:val="22"/>
        </w:rPr>
      </w:pPr>
      <w:r w:rsidRPr="002B370E">
        <w:rPr>
          <w:sz w:val="22"/>
          <w:szCs w:val="22"/>
        </w:rPr>
        <w:lastRenderedPageBreak/>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7F005A">
        <w:rPr>
          <w:sz w:val="22"/>
          <w:szCs w:val="22"/>
        </w:rPr>
        <w:t>20</w:t>
      </w:r>
      <w:r w:rsidR="00090421" w:rsidRPr="004174F0">
        <w:rPr>
          <w:sz w:val="22"/>
          <w:szCs w:val="22"/>
        </w:rPr>
        <w:t>.</w:t>
      </w:r>
      <w:r w:rsidR="007F005A">
        <w:rPr>
          <w:sz w:val="22"/>
          <w:szCs w:val="22"/>
        </w:rPr>
        <w:t>328</w:t>
      </w:r>
      <w:r w:rsidR="004174F0" w:rsidRPr="004174F0">
        <w:rPr>
          <w:sz w:val="22"/>
          <w:szCs w:val="22"/>
        </w:rPr>
        <w:t>,</w:t>
      </w:r>
      <w:r w:rsidR="007F005A">
        <w:rPr>
          <w:sz w:val="22"/>
          <w:szCs w:val="22"/>
        </w:rPr>
        <w:t>90</w:t>
      </w:r>
      <w:r w:rsidR="00090421" w:rsidRPr="004174F0">
        <w:rPr>
          <w:sz w:val="22"/>
          <w:szCs w:val="22"/>
        </w:rPr>
        <w:t xml:space="preserve"> BAM / (</w:t>
      </w:r>
      <w:r w:rsidR="007F005A">
        <w:rPr>
          <w:sz w:val="22"/>
          <w:szCs w:val="22"/>
        </w:rPr>
        <w:t>10</w:t>
      </w:r>
      <w:r w:rsidR="00090421" w:rsidRPr="004174F0">
        <w:rPr>
          <w:sz w:val="22"/>
          <w:szCs w:val="22"/>
        </w:rPr>
        <w:t>.</w:t>
      </w:r>
      <w:r w:rsidR="007F005A">
        <w:rPr>
          <w:sz w:val="22"/>
          <w:szCs w:val="22"/>
        </w:rPr>
        <w:t>394</w:t>
      </w:r>
      <w:r w:rsidR="00090421" w:rsidRPr="004174F0">
        <w:rPr>
          <w:sz w:val="22"/>
          <w:szCs w:val="22"/>
        </w:rPr>
        <w:t>,00</w:t>
      </w:r>
      <w:r w:rsidR="00090421" w:rsidRPr="00090421">
        <w:rPr>
          <w:sz w:val="22"/>
          <w:szCs w:val="22"/>
        </w:rPr>
        <w:t xml:space="preserve"> EUR). </w:t>
      </w:r>
      <w:r w:rsidRPr="002B370E">
        <w:rPr>
          <w:sz w:val="22"/>
          <w:szCs w:val="22"/>
        </w:rPr>
        <w:t xml:space="preserve">Payments under this contract will be made in </w:t>
      </w:r>
      <w:r w:rsidR="006F25A2">
        <w:rPr>
          <w:sz w:val="22"/>
          <w:szCs w:val="22"/>
        </w:rPr>
        <w:t>the currency of the tender.</w:t>
      </w:r>
      <w:r w:rsidRPr="002B370E">
        <w:rPr>
          <w:sz w:val="22"/>
          <w:szCs w:val="22"/>
        </w:rPr>
        <w:t xml:space="preserve"> </w:t>
      </w:r>
    </w:p>
    <w:p w14:paraId="436C447B"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B8BFA34"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340A565D" w14:textId="77777777" w:rsidR="003436FE" w:rsidRPr="002B370E" w:rsidRDefault="00090421" w:rsidP="00090421">
      <w:pPr>
        <w:spacing w:after="120"/>
        <w:jc w:val="both"/>
        <w:rPr>
          <w:sz w:val="22"/>
          <w:szCs w:val="22"/>
        </w:rPr>
      </w:pPr>
      <w:r w:rsidRPr="00090421">
        <w:rPr>
          <w:sz w:val="22"/>
          <w:szCs w:val="22"/>
        </w:rPr>
        <w:t>The European Commission and Bosnia and Herzegovina have agreed in the Framework Agreement on the Arrangements for Implementation of Union Financial Assistance to Bosnia and Herzegovina under the Instrument for Pre-Accession Assistance (IPA II) to fully exonerate the following taxes: VAT on goods and services procured in BiH.</w:t>
      </w:r>
    </w:p>
    <w:p w14:paraId="0B9FED7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116623EF"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67D4D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60190AF5"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14:paraId="3BC64C8B"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41734DC8"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7F7BD0F6" w14:textId="77777777" w:rsidR="002B4625" w:rsidRDefault="003436FE" w:rsidP="002B4625">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14:paraId="4C0C6F5E" w14:textId="3081C081" w:rsidR="003436FE" w:rsidRPr="002B370E" w:rsidRDefault="003436FE" w:rsidP="002B4625">
      <w:pPr>
        <w:spacing w:before="120" w:after="120"/>
        <w:jc w:val="both"/>
        <w:rPr>
          <w:sz w:val="22"/>
          <w:szCs w:val="22"/>
        </w:rPr>
      </w:pPr>
      <w:r w:rsidRPr="002B370E">
        <w:rPr>
          <w:sz w:val="22"/>
          <w:szCs w:val="22"/>
        </w:rPr>
        <w:t xml:space="preserve">Tenderers may submit questions in writing to the following address up to </w:t>
      </w:r>
      <w:r w:rsidR="007F005A">
        <w:rPr>
          <w:sz w:val="22"/>
          <w:szCs w:val="22"/>
        </w:rPr>
        <w:t>1</w:t>
      </w:r>
      <w:r w:rsidR="0028256C">
        <w:rPr>
          <w:sz w:val="22"/>
          <w:szCs w:val="22"/>
        </w:rPr>
        <w:t>4</w:t>
      </w:r>
      <w:r w:rsidRPr="002B370E">
        <w:rPr>
          <w:sz w:val="22"/>
          <w:szCs w:val="22"/>
        </w:rPr>
        <w:t> days before the deadline for submission of tenders, specifying the publication reference and the contract title:</w:t>
      </w:r>
    </w:p>
    <w:p w14:paraId="141948AF" w14:textId="7B5B28E7" w:rsidR="006E787C" w:rsidRPr="006E787C" w:rsidRDefault="006E787C" w:rsidP="006E787C">
      <w:pPr>
        <w:pStyle w:val="BodyText"/>
        <w:jc w:val="both"/>
        <w:rPr>
          <w:sz w:val="22"/>
          <w:szCs w:val="22"/>
        </w:rPr>
      </w:pPr>
      <w:r w:rsidRPr="006E787C">
        <w:rPr>
          <w:sz w:val="22"/>
          <w:szCs w:val="22"/>
        </w:rPr>
        <w:t>Reference: 19-24-</w:t>
      </w:r>
      <w:r w:rsidR="007F005A">
        <w:rPr>
          <w:sz w:val="22"/>
          <w:szCs w:val="22"/>
        </w:rPr>
        <w:t>729</w:t>
      </w:r>
      <w:r w:rsidRPr="006E787C">
        <w:rPr>
          <w:sz w:val="22"/>
          <w:szCs w:val="22"/>
        </w:rPr>
        <w:t>-</w:t>
      </w:r>
      <w:r w:rsidR="004174F0">
        <w:rPr>
          <w:sz w:val="22"/>
          <w:szCs w:val="22"/>
        </w:rPr>
        <w:t>4</w:t>
      </w:r>
      <w:r w:rsidR="007F005A">
        <w:rPr>
          <w:sz w:val="22"/>
          <w:szCs w:val="22"/>
        </w:rPr>
        <w:t>1</w:t>
      </w:r>
      <w:r w:rsidRPr="006E787C">
        <w:rPr>
          <w:sz w:val="22"/>
          <w:szCs w:val="22"/>
        </w:rPr>
        <w:t>/2</w:t>
      </w:r>
      <w:r w:rsidR="007F005A">
        <w:rPr>
          <w:sz w:val="22"/>
          <w:szCs w:val="22"/>
        </w:rPr>
        <w:t>1</w:t>
      </w:r>
    </w:p>
    <w:p w14:paraId="29062BC1" w14:textId="278D1E7E" w:rsidR="006E787C" w:rsidRPr="006E787C" w:rsidRDefault="006E787C" w:rsidP="006E787C">
      <w:pPr>
        <w:pStyle w:val="BodyText"/>
        <w:jc w:val="both"/>
        <w:rPr>
          <w:sz w:val="22"/>
          <w:szCs w:val="22"/>
        </w:rPr>
      </w:pPr>
      <w:r w:rsidRPr="006E787C">
        <w:rPr>
          <w:sz w:val="22"/>
          <w:szCs w:val="22"/>
        </w:rPr>
        <w:t xml:space="preserve">EXTERNAL EXPERTIZE FOR REALIZATION OF ACTIVITIES UNDER THE ADRIONET WORK PACKAGE </w:t>
      </w:r>
      <w:r w:rsidR="007F005A">
        <w:rPr>
          <w:sz w:val="22"/>
          <w:szCs w:val="22"/>
        </w:rPr>
        <w:t>3</w:t>
      </w:r>
      <w:r w:rsidRPr="006E787C">
        <w:rPr>
          <w:sz w:val="22"/>
          <w:szCs w:val="22"/>
        </w:rPr>
        <w:t xml:space="preserve"> (</w:t>
      </w:r>
      <w:r w:rsidR="007F005A">
        <w:rPr>
          <w:sz w:val="22"/>
          <w:szCs w:val="22"/>
        </w:rPr>
        <w:t>T2</w:t>
      </w:r>
      <w:r w:rsidRPr="006E787C">
        <w:rPr>
          <w:sz w:val="22"/>
          <w:szCs w:val="22"/>
        </w:rPr>
        <w:t>)</w:t>
      </w:r>
    </w:p>
    <w:p w14:paraId="6CC95E35" w14:textId="77777777" w:rsidR="006E787C" w:rsidRPr="006E787C" w:rsidRDefault="006E787C" w:rsidP="006E787C">
      <w:pPr>
        <w:pStyle w:val="BodyText"/>
        <w:jc w:val="both"/>
        <w:rPr>
          <w:sz w:val="22"/>
          <w:szCs w:val="22"/>
        </w:rPr>
      </w:pPr>
      <w:r w:rsidRPr="006E787C">
        <w:rPr>
          <w:sz w:val="22"/>
          <w:szCs w:val="22"/>
        </w:rPr>
        <w:t>Contact name: Salih Alispahić</w:t>
      </w:r>
    </w:p>
    <w:p w14:paraId="043001F5" w14:textId="77777777" w:rsidR="006E787C" w:rsidRPr="006E787C" w:rsidRDefault="006E787C" w:rsidP="006E787C">
      <w:pPr>
        <w:pStyle w:val="BodyText"/>
        <w:jc w:val="both"/>
        <w:rPr>
          <w:sz w:val="22"/>
          <w:szCs w:val="22"/>
        </w:rPr>
      </w:pPr>
      <w:r w:rsidRPr="006E787C">
        <w:rPr>
          <w:sz w:val="22"/>
          <w:szCs w:val="22"/>
        </w:rPr>
        <w:t>Address: Kučukovići 2, 72000 Zenica</w:t>
      </w:r>
    </w:p>
    <w:p w14:paraId="40C7BA4B" w14:textId="77777777" w:rsidR="006E787C" w:rsidRPr="006E787C" w:rsidRDefault="006E787C" w:rsidP="006E787C">
      <w:pPr>
        <w:pStyle w:val="BodyText"/>
        <w:jc w:val="both"/>
        <w:rPr>
          <w:sz w:val="22"/>
          <w:szCs w:val="22"/>
        </w:rPr>
      </w:pPr>
      <w:r w:rsidRPr="006E787C">
        <w:rPr>
          <w:sz w:val="22"/>
          <w:szCs w:val="22"/>
        </w:rPr>
        <w:t>Fax No: 032 460 632</w:t>
      </w:r>
    </w:p>
    <w:p w14:paraId="4942A21E" w14:textId="77777777" w:rsidR="006E787C" w:rsidRDefault="006E787C" w:rsidP="006E787C">
      <w:pPr>
        <w:pStyle w:val="BodyText"/>
        <w:jc w:val="both"/>
        <w:rPr>
          <w:sz w:val="22"/>
          <w:szCs w:val="22"/>
        </w:rPr>
      </w:pPr>
      <w:r w:rsidRPr="006E787C">
        <w:rPr>
          <w:sz w:val="22"/>
          <w:szCs w:val="22"/>
        </w:rPr>
        <w:t xml:space="preserve">E-mail: salih.alispahic@zdk.ba, </w:t>
      </w:r>
      <w:hyperlink r:id="rId10" w:history="1">
        <w:r w:rsidRPr="00B2657E">
          <w:rPr>
            <w:rStyle w:val="Hyperlink"/>
            <w:sz w:val="22"/>
            <w:szCs w:val="22"/>
          </w:rPr>
          <w:t>sluzba.razvoj@zdk.ba</w:t>
        </w:r>
      </w:hyperlink>
    </w:p>
    <w:p w14:paraId="1C522EB2" w14:textId="77777777" w:rsidR="003436FE" w:rsidRPr="002B370E" w:rsidRDefault="003436FE" w:rsidP="006E787C">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14:paraId="17D61552"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AFC962D"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719F658"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lastRenderedPageBreak/>
        <w:t>Submission of tenders</w:t>
      </w:r>
      <w:bookmarkEnd w:id="2"/>
      <w:bookmarkEnd w:id="3"/>
    </w:p>
    <w:p w14:paraId="5A0C5812" w14:textId="210B46FB" w:rsidR="003436FE" w:rsidRPr="002B370E" w:rsidRDefault="006A4099" w:rsidP="003436FE">
      <w:pPr>
        <w:spacing w:before="120" w:after="120"/>
        <w:jc w:val="both"/>
        <w:rPr>
          <w:sz w:val="22"/>
          <w:szCs w:val="22"/>
        </w:rPr>
      </w:pPr>
      <w:r w:rsidRPr="006A4099">
        <w:rPr>
          <w:sz w:val="22"/>
          <w:szCs w:val="22"/>
        </w:rPr>
        <w:t xml:space="preserve">Tenders must be sent to the contracting authority before </w:t>
      </w:r>
      <w:r w:rsidR="00E94178">
        <w:rPr>
          <w:sz w:val="22"/>
          <w:szCs w:val="22"/>
        </w:rPr>
        <w:t>12</w:t>
      </w:r>
      <w:r w:rsidRPr="004174F0">
        <w:rPr>
          <w:sz w:val="22"/>
          <w:szCs w:val="22"/>
        </w:rPr>
        <w:t>/1</w:t>
      </w:r>
      <w:r w:rsidR="00E94178">
        <w:rPr>
          <w:sz w:val="22"/>
          <w:szCs w:val="22"/>
        </w:rPr>
        <w:t>0</w:t>
      </w:r>
      <w:r w:rsidRPr="004174F0">
        <w:rPr>
          <w:sz w:val="22"/>
          <w:szCs w:val="22"/>
        </w:rPr>
        <w:t>/202</w:t>
      </w:r>
      <w:r w:rsidR="00E94178">
        <w:rPr>
          <w:sz w:val="22"/>
          <w:szCs w:val="22"/>
        </w:rPr>
        <w:t>1</w:t>
      </w:r>
      <w:r w:rsidRPr="006A4099">
        <w:rPr>
          <w:sz w:val="22"/>
          <w:szCs w:val="22"/>
        </w:rPr>
        <w:t xml:space="preserve"> at 16:00. They must include the requested documents in clause 4 above and be sent:</w:t>
      </w:r>
    </w:p>
    <w:p w14:paraId="269B9D08" w14:textId="77777777"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3"/>
      </w:r>
      <w:r w:rsidR="00D44374" w:rsidRPr="00D44374">
        <w:rPr>
          <w:sz w:val="22"/>
          <w:szCs w:val="22"/>
        </w:rPr>
        <w:t xml:space="preserve">, </w:t>
      </w:r>
      <w:r w:rsidRPr="002B370E">
        <w:rPr>
          <w:sz w:val="22"/>
          <w:szCs w:val="22"/>
        </w:rPr>
        <w:t>to:</w:t>
      </w:r>
    </w:p>
    <w:p w14:paraId="3AE4045D" w14:textId="77777777" w:rsidR="006A4099" w:rsidRPr="008F0066" w:rsidRDefault="006A4099" w:rsidP="006A4099">
      <w:pPr>
        <w:pStyle w:val="Blockquote"/>
        <w:keepNext/>
        <w:keepLines/>
        <w:spacing w:before="120" w:after="0"/>
        <w:jc w:val="center"/>
        <w:rPr>
          <w:b/>
          <w:sz w:val="22"/>
          <w:szCs w:val="22"/>
          <w:lang w:val="en-GB"/>
        </w:rPr>
      </w:pPr>
      <w:r w:rsidRPr="008F0066">
        <w:rPr>
          <w:b/>
          <w:sz w:val="22"/>
          <w:szCs w:val="22"/>
          <w:lang w:val="en-GB"/>
        </w:rPr>
        <w:t xml:space="preserve">Department for Development and International Projects of Zenica-Doboj </w:t>
      </w:r>
      <w:r>
        <w:rPr>
          <w:b/>
          <w:sz w:val="22"/>
          <w:szCs w:val="22"/>
          <w:lang w:val="en-GB"/>
        </w:rPr>
        <w:t>C</w:t>
      </w:r>
      <w:r w:rsidRPr="008F0066">
        <w:rPr>
          <w:b/>
          <w:sz w:val="22"/>
          <w:szCs w:val="22"/>
          <w:lang w:val="en-GB"/>
        </w:rPr>
        <w:t>anton</w:t>
      </w:r>
    </w:p>
    <w:p w14:paraId="58883010" w14:textId="77777777" w:rsidR="003436FE" w:rsidRDefault="006A4099" w:rsidP="006A4099">
      <w:pPr>
        <w:pStyle w:val="Blockquote"/>
        <w:keepNext/>
        <w:keepLines/>
        <w:spacing w:before="120" w:after="120"/>
        <w:jc w:val="center"/>
        <w:rPr>
          <w:rStyle w:val="Emphasis"/>
          <w:i w:val="0"/>
          <w:sz w:val="22"/>
          <w:szCs w:val="22"/>
          <w:lang w:val="en-GB"/>
        </w:rPr>
      </w:pPr>
      <w:r w:rsidRPr="008F0066">
        <w:rPr>
          <w:b/>
          <w:sz w:val="22"/>
          <w:szCs w:val="22"/>
          <w:lang w:val="en-GB"/>
        </w:rPr>
        <w:t>Ku</w:t>
      </w:r>
      <w:r>
        <w:rPr>
          <w:b/>
          <w:sz w:val="22"/>
          <w:szCs w:val="22"/>
          <w:lang w:val="en-GB"/>
        </w:rPr>
        <w:t>č</w:t>
      </w:r>
      <w:r w:rsidRPr="008F0066">
        <w:rPr>
          <w:b/>
          <w:sz w:val="22"/>
          <w:szCs w:val="22"/>
          <w:lang w:val="en-GB"/>
        </w:rPr>
        <w:t>ukovi</w:t>
      </w:r>
      <w:r>
        <w:rPr>
          <w:b/>
          <w:sz w:val="22"/>
          <w:szCs w:val="22"/>
          <w:lang w:val="en-GB"/>
        </w:rPr>
        <w:t>ć</w:t>
      </w:r>
      <w:r w:rsidRPr="008F0066">
        <w:rPr>
          <w:b/>
          <w:sz w:val="22"/>
          <w:szCs w:val="22"/>
          <w:lang w:val="en-GB"/>
        </w:rPr>
        <w:t>i 2, 72000 Zeni</w:t>
      </w:r>
      <w:r>
        <w:rPr>
          <w:b/>
          <w:sz w:val="22"/>
          <w:szCs w:val="22"/>
          <w:lang w:val="en-GB"/>
        </w:rPr>
        <w:t>ca</w:t>
      </w:r>
    </w:p>
    <w:p w14:paraId="7BA8AC34" w14:textId="77777777"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14:paraId="10E3314B" w14:textId="77777777" w:rsidR="006A4099" w:rsidRPr="008F0066" w:rsidRDefault="006A4099" w:rsidP="006A4099">
      <w:pPr>
        <w:pStyle w:val="Blockquote"/>
        <w:keepNext/>
        <w:keepLines/>
        <w:spacing w:before="120" w:after="0"/>
        <w:jc w:val="center"/>
        <w:rPr>
          <w:b/>
          <w:sz w:val="22"/>
          <w:szCs w:val="22"/>
          <w:lang w:val="en-GB"/>
        </w:rPr>
      </w:pPr>
      <w:r w:rsidRPr="008F0066">
        <w:rPr>
          <w:b/>
          <w:sz w:val="22"/>
          <w:szCs w:val="22"/>
          <w:lang w:val="en-GB"/>
        </w:rPr>
        <w:t xml:space="preserve">Department for Development and International Projects of Zenica-Doboj </w:t>
      </w:r>
      <w:r>
        <w:rPr>
          <w:b/>
          <w:sz w:val="22"/>
          <w:szCs w:val="22"/>
          <w:lang w:val="en-GB"/>
        </w:rPr>
        <w:t>C</w:t>
      </w:r>
      <w:r w:rsidRPr="008F0066">
        <w:rPr>
          <w:b/>
          <w:sz w:val="22"/>
          <w:szCs w:val="22"/>
          <w:lang w:val="en-GB"/>
        </w:rPr>
        <w:t>anton</w:t>
      </w:r>
    </w:p>
    <w:p w14:paraId="76E6BB05" w14:textId="77777777" w:rsidR="003436FE" w:rsidRDefault="006A4099" w:rsidP="006A4099">
      <w:pPr>
        <w:pStyle w:val="Blockquote"/>
        <w:spacing w:before="120" w:after="120"/>
        <w:jc w:val="center"/>
        <w:rPr>
          <w:rStyle w:val="Emphasis"/>
          <w:i w:val="0"/>
          <w:sz w:val="22"/>
          <w:szCs w:val="22"/>
          <w:lang w:val="en-GB"/>
        </w:rPr>
      </w:pPr>
      <w:r w:rsidRPr="008F0066">
        <w:rPr>
          <w:b/>
          <w:sz w:val="22"/>
          <w:szCs w:val="22"/>
          <w:lang w:val="en-GB"/>
        </w:rPr>
        <w:t>Ku</w:t>
      </w:r>
      <w:r>
        <w:rPr>
          <w:b/>
          <w:sz w:val="22"/>
          <w:szCs w:val="22"/>
          <w:lang w:val="en-GB"/>
        </w:rPr>
        <w:t>č</w:t>
      </w:r>
      <w:r w:rsidRPr="008F0066">
        <w:rPr>
          <w:b/>
          <w:sz w:val="22"/>
          <w:szCs w:val="22"/>
          <w:lang w:val="en-GB"/>
        </w:rPr>
        <w:t>ukovi</w:t>
      </w:r>
      <w:r>
        <w:rPr>
          <w:b/>
          <w:sz w:val="22"/>
          <w:szCs w:val="22"/>
          <w:lang w:val="en-GB"/>
        </w:rPr>
        <w:t>ć</w:t>
      </w:r>
      <w:r w:rsidRPr="008F0066">
        <w:rPr>
          <w:b/>
          <w:sz w:val="22"/>
          <w:szCs w:val="22"/>
          <w:lang w:val="en-GB"/>
        </w:rPr>
        <w:t>i 2, 72000 Zen</w:t>
      </w:r>
      <w:r>
        <w:rPr>
          <w:b/>
          <w:sz w:val="22"/>
          <w:szCs w:val="22"/>
          <w:lang w:val="en-GB"/>
        </w:rPr>
        <w:t>ica</w:t>
      </w:r>
    </w:p>
    <w:p w14:paraId="0CA1B88A" w14:textId="77777777"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14:paraId="33313437" w14:textId="77777777"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01ACF0A9" w14:textId="77777777"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14:paraId="62992C3B" w14:textId="77777777"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2942AD0D"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7DF59F7D" w14:textId="09FFB534"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B6763E" w:rsidRPr="00B6763E">
        <w:rPr>
          <w:bCs/>
          <w:sz w:val="22"/>
          <w:szCs w:val="22"/>
        </w:rPr>
        <w:t>19-24-</w:t>
      </w:r>
      <w:r w:rsidR="00E94178">
        <w:rPr>
          <w:bCs/>
          <w:sz w:val="22"/>
          <w:szCs w:val="22"/>
        </w:rPr>
        <w:t>729</w:t>
      </w:r>
      <w:r w:rsidR="00B6763E" w:rsidRPr="00B6763E">
        <w:rPr>
          <w:bCs/>
          <w:sz w:val="22"/>
          <w:szCs w:val="22"/>
        </w:rPr>
        <w:t>-</w:t>
      </w:r>
      <w:r w:rsidR="004174F0">
        <w:rPr>
          <w:bCs/>
          <w:sz w:val="22"/>
          <w:szCs w:val="22"/>
        </w:rPr>
        <w:t>4</w:t>
      </w:r>
      <w:r w:rsidR="00E94178">
        <w:rPr>
          <w:bCs/>
          <w:sz w:val="22"/>
          <w:szCs w:val="22"/>
        </w:rPr>
        <w:t>1</w:t>
      </w:r>
      <w:r w:rsidR="00B6763E" w:rsidRPr="00B6763E">
        <w:rPr>
          <w:bCs/>
          <w:sz w:val="22"/>
          <w:szCs w:val="22"/>
        </w:rPr>
        <w:t>/2</w:t>
      </w:r>
      <w:r w:rsidR="00E94178">
        <w:rPr>
          <w:bCs/>
          <w:sz w:val="22"/>
          <w:szCs w:val="22"/>
        </w:rPr>
        <w:t>1</w:t>
      </w:r>
      <w:r w:rsidRPr="002B370E">
        <w:rPr>
          <w:sz w:val="22"/>
          <w:szCs w:val="22"/>
        </w:rPr>
        <w:t>);</w:t>
      </w:r>
    </w:p>
    <w:p w14:paraId="52F48175"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sidR="004174F0">
        <w:rPr>
          <w:sz w:val="22"/>
          <w:szCs w:val="22"/>
        </w:rPr>
        <w:t>“</w:t>
      </w:r>
      <w:r w:rsidRPr="002B370E">
        <w:rPr>
          <w:sz w:val="22"/>
          <w:szCs w:val="22"/>
        </w:rPr>
        <w:t>Not to be opened before the tender-opening session</w:t>
      </w:r>
      <w:r w:rsidR="004174F0">
        <w:rPr>
          <w:sz w:val="22"/>
          <w:szCs w:val="22"/>
        </w:rPr>
        <w:t>”</w:t>
      </w:r>
      <w:r w:rsidRPr="002B370E">
        <w:rPr>
          <w:sz w:val="22"/>
          <w:szCs w:val="22"/>
        </w:rPr>
        <w:t xml:space="preserve"> </w:t>
      </w:r>
      <w:r w:rsidR="004174F0">
        <w:rPr>
          <w:sz w:val="22"/>
          <w:szCs w:val="22"/>
        </w:rPr>
        <w:t>/</w:t>
      </w:r>
      <w:r w:rsidRPr="002B370E">
        <w:rPr>
          <w:sz w:val="22"/>
          <w:szCs w:val="22"/>
        </w:rPr>
        <w:t xml:space="preserve"> </w:t>
      </w:r>
      <w:r w:rsidR="00AC5C12" w:rsidRPr="00AC5C12">
        <w:rPr>
          <w:sz w:val="22"/>
          <w:szCs w:val="22"/>
        </w:rPr>
        <w:t>“NE OTVARATI</w:t>
      </w:r>
      <w:r w:rsidR="00983DAD">
        <w:rPr>
          <w:sz w:val="22"/>
          <w:szCs w:val="22"/>
        </w:rPr>
        <w:t xml:space="preserve"> PRIJE SASTANKA TENDERSKE KOMISIJE</w:t>
      </w:r>
      <w:r w:rsidR="00AC5C12" w:rsidRPr="00AC5C12">
        <w:rPr>
          <w:sz w:val="22"/>
          <w:szCs w:val="22"/>
        </w:rPr>
        <w:t>”</w:t>
      </w:r>
      <w:r w:rsidRPr="002B370E">
        <w:rPr>
          <w:sz w:val="22"/>
          <w:szCs w:val="22"/>
        </w:rPr>
        <w:t>;</w:t>
      </w:r>
    </w:p>
    <w:p w14:paraId="091759DF"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14:paraId="5FDF76DC" w14:textId="77777777"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14:paraId="1ADFAE44"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lastRenderedPageBreak/>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122D201A"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68353E2A" w14:textId="77777777"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5D9EBE5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2DF96E85"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5511A667"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21299F34"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54CD42F0"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618DE21A"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1B27F563"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66FD86B1" w14:textId="77777777"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1" w:history="1">
        <w:r w:rsidR="00996707" w:rsidRPr="005D1583">
          <w:rPr>
            <w:rStyle w:val="Hyperlink"/>
            <w:sz w:val="22"/>
            <w:szCs w:val="22"/>
          </w:rPr>
          <w:t>http://ec.europa.eu/europeaid/prag/document.do</w:t>
        </w:r>
      </w:hyperlink>
      <w:r w:rsidRPr="0059570B">
        <w:rPr>
          <w:sz w:val="22"/>
          <w:szCs w:val="22"/>
        </w:rPr>
        <w:t>).</w:t>
      </w:r>
    </w:p>
    <w:p w14:paraId="27252931"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57A9FE10" w14:textId="77777777" w:rsidR="00294800" w:rsidRPr="00294800" w:rsidRDefault="00294800" w:rsidP="00294800">
      <w:pPr>
        <w:spacing w:before="120" w:after="120"/>
        <w:jc w:val="both"/>
        <w:rPr>
          <w:sz w:val="22"/>
          <w:szCs w:val="22"/>
        </w:rPr>
      </w:pPr>
      <w:r w:rsidRPr="009D7B5C">
        <w:rPr>
          <w:sz w:val="22"/>
          <w:szCs w:val="22"/>
        </w:rPr>
        <w:t>No interviews are foreseen.</w:t>
      </w:r>
    </w:p>
    <w:p w14:paraId="2F848DAC"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0B3BBB81"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14:paraId="0D950A4D"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29B8D58F"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32E5A185"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2E724B9A"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w:t>
      </w:r>
      <w:r w:rsidRPr="002B370E">
        <w:rPr>
          <w:sz w:val="22"/>
          <w:szCs w:val="22"/>
        </w:rPr>
        <w:lastRenderedPageBreak/>
        <w:t xml:space="preserve">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71CB1614"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171AF3E1"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000AC6E6"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87D15F6"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31C03EE2"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7393447"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289748E8"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4ED4C03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52DE4F26"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58F50DA"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561D9230"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477E10DB"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w:t>
      </w:r>
      <w:r w:rsidRPr="00121005">
        <w:rPr>
          <w:sz w:val="22"/>
          <w:szCs w:val="22"/>
        </w:rPr>
        <w:lastRenderedPageBreak/>
        <w:t>commissions paid to a payee who is not clearly identified or commissions paid to a company which has every appearance of being a front company.</w:t>
      </w:r>
    </w:p>
    <w:p w14:paraId="4A597E18"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66474512"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5731A206" w14:textId="77777777" w:rsidR="003436FE" w:rsidRPr="002B370E" w:rsidRDefault="009D7B5C" w:rsidP="003436FE">
      <w:pPr>
        <w:spacing w:before="120" w:after="120"/>
        <w:ind w:left="567" w:hanging="567"/>
        <w:jc w:val="both"/>
        <w:rPr>
          <w:sz w:val="22"/>
          <w:szCs w:val="22"/>
        </w:rPr>
      </w:pPr>
      <w:r>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26219BE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72666041"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5C878311" w14:textId="77777777"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14:paraId="55BBFAEA"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2795D7BF"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3A82941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3E778700" w14:textId="77777777"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14:paraId="0A82ECA3"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5BBCD05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7590F94F"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55B940E3"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3EFB219A"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4344E251"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44AB214E"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exceptional circumstances or force majeure render normal performance of the contract impossible;</w:t>
      </w:r>
    </w:p>
    <w:p w14:paraId="74298C0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78EE729C"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6EAFCB2C"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6912449A"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CDEBE41"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0835BC8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108F274C"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5EE33951" w14:textId="77777777" w:rsidR="003436FE" w:rsidRPr="002B370E" w:rsidRDefault="00E10871" w:rsidP="00E10871">
      <w:pPr>
        <w:pStyle w:val="BodyText"/>
        <w:jc w:val="both"/>
        <w:rPr>
          <w:sz w:val="22"/>
          <w:szCs w:val="22"/>
        </w:rPr>
      </w:pPr>
      <w:r w:rsidRPr="00E10871">
        <w:rPr>
          <w:sz w:val="22"/>
          <w:szCs w:val="22"/>
        </w:rPr>
        <w:t>If processing your reply to the invitation to tender involves the recording and processing of personal data (such as names, contact details and CVs), they will be processed solely for the purposes of the management and monitoring of the tender.</w:t>
      </w:r>
    </w:p>
    <w:p w14:paraId="4E1AC6CB" w14:textId="77777777" w:rsidR="003436FE" w:rsidRPr="00FF1FE0" w:rsidRDefault="003436FE" w:rsidP="003436FE">
      <w:pPr>
        <w:keepNext/>
        <w:spacing w:before="240" w:after="240"/>
        <w:jc w:val="both"/>
        <w:rPr>
          <w:b/>
          <w:bCs/>
          <w:sz w:val="24"/>
          <w:szCs w:val="24"/>
        </w:rPr>
      </w:pPr>
      <w:r w:rsidRPr="00FF1FE0">
        <w:rPr>
          <w:b/>
          <w:bCs/>
          <w:sz w:val="24"/>
          <w:szCs w:val="24"/>
        </w:rPr>
        <w:t>18.</w:t>
      </w:r>
      <w:r w:rsidR="00E10871">
        <w:rPr>
          <w:b/>
          <w:bCs/>
          <w:sz w:val="24"/>
          <w:szCs w:val="24"/>
        </w:rPr>
        <w:t xml:space="preserve"> </w:t>
      </w:r>
      <w:r w:rsidRPr="00FF1FE0">
        <w:rPr>
          <w:b/>
          <w:bCs/>
          <w:sz w:val="24"/>
          <w:szCs w:val="24"/>
        </w:rPr>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744948F0"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2"/>
      <w:footerReference w:type="default" r:id="rId13"/>
      <w:headerReference w:type="first" r:id="rId14"/>
      <w:footerReference w:type="first" r:id="rId15"/>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BDE36" w14:textId="77777777" w:rsidR="00627416" w:rsidRDefault="00627416">
      <w:r>
        <w:separator/>
      </w:r>
    </w:p>
  </w:endnote>
  <w:endnote w:type="continuationSeparator" w:id="0">
    <w:p w14:paraId="03FA0AA6" w14:textId="77777777" w:rsidR="00627416" w:rsidRDefault="0062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1E555"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2237D1E9"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65559" w14:textId="77777777" w:rsidR="00C06F58" w:rsidRPr="00A94AD3"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Pr>
        <w:rStyle w:val="PageNumber"/>
        <w:noProof/>
        <w:sz w:val="18"/>
        <w:szCs w:val="18"/>
      </w:rPr>
      <w:t>2</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Pr>
        <w:rStyle w:val="PageNumber"/>
        <w:noProof/>
        <w:sz w:val="18"/>
        <w:szCs w:val="18"/>
      </w:rPr>
      <w:t>15</w:t>
    </w:r>
    <w:r w:rsidR="00C06F58" w:rsidRPr="00A94AD3">
      <w:rPr>
        <w:rStyle w:val="PageNumber"/>
        <w:sz w:val="18"/>
        <w:szCs w:val="18"/>
      </w:rPr>
      <w:fldChar w:fldCharType="end"/>
    </w:r>
  </w:p>
  <w:p w14:paraId="00C4E7AA"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73163" w14:textId="77777777" w:rsidR="00C06F58" w:rsidRPr="002B370E"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Pr>
        <w:rStyle w:val="PageNumber"/>
        <w:noProof/>
        <w:sz w:val="18"/>
        <w:szCs w:val="18"/>
      </w:rPr>
      <w:t>15</w:t>
    </w:r>
    <w:r w:rsidR="00C06F58" w:rsidRPr="002B370E">
      <w:rPr>
        <w:rStyle w:val="PageNumber"/>
        <w:sz w:val="18"/>
        <w:szCs w:val="18"/>
      </w:rPr>
      <w:fldChar w:fldCharType="end"/>
    </w:r>
    <w:bookmarkStart w:id="4" w:name="_Hlt26943623"/>
    <w:bookmarkEnd w:id="4"/>
  </w:p>
  <w:p w14:paraId="163E4EBA"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D8A96" w14:textId="77777777" w:rsidR="00627416" w:rsidRDefault="00627416">
      <w:r>
        <w:separator/>
      </w:r>
    </w:p>
  </w:footnote>
  <w:footnote w:type="continuationSeparator" w:id="0">
    <w:p w14:paraId="13B5A592" w14:textId="77777777" w:rsidR="00627416" w:rsidRDefault="00627416">
      <w:r>
        <w:continuationSeparator/>
      </w:r>
    </w:p>
  </w:footnote>
  <w:footnote w:id="1">
    <w:p w14:paraId="305BEF13" w14:textId="77777777" w:rsidR="000D135C" w:rsidRPr="000D135C" w:rsidRDefault="000D135C">
      <w:pPr>
        <w:pStyle w:val="FootnoteText"/>
      </w:pPr>
      <w:r>
        <w:rPr>
          <w:rStyle w:val="FootnoteReference"/>
        </w:rPr>
        <w:footnoteRef/>
      </w:r>
      <w:r>
        <w:t xml:space="preserve"> See PRAG 2.6.10.1.3 A)</w:t>
      </w:r>
    </w:p>
  </w:footnote>
  <w:footnote w:id="2">
    <w:p w14:paraId="51EF70B0" w14:textId="77777777" w:rsidR="00C06F58" w:rsidRPr="00D44374" w:rsidRDefault="00C06F58" w:rsidP="00543D27">
      <w:pPr>
        <w:pStyle w:val="FootnoteText"/>
      </w:pPr>
      <w:r w:rsidRPr="009A733A">
        <w:rPr>
          <w:rStyle w:val="FootnoteReference"/>
          <w:sz w:val="16"/>
          <w:szCs w:val="16"/>
        </w:rPr>
        <w:footnoteRef/>
      </w:r>
      <w:r w:rsidR="005D1583" w:rsidRPr="00D44374">
        <w:t xml:space="preserve"> </w:t>
      </w:r>
      <w:r w:rsidRPr="00D44374">
        <w:t>The currency of the tender is the currency of the contract and the currency of payment.</w:t>
      </w:r>
    </w:p>
  </w:footnote>
  <w:footnote w:id="3">
    <w:p w14:paraId="69C2E009" w14:textId="77777777"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14:paraId="741999C6" w14:textId="77777777"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F5CFE"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10683"/>
    <w:rsid w:val="0004095E"/>
    <w:rsid w:val="00047F95"/>
    <w:rsid w:val="000544E6"/>
    <w:rsid w:val="000570D7"/>
    <w:rsid w:val="00057A21"/>
    <w:rsid w:val="000607F7"/>
    <w:rsid w:val="000626CB"/>
    <w:rsid w:val="00076EEC"/>
    <w:rsid w:val="0009029D"/>
    <w:rsid w:val="00090421"/>
    <w:rsid w:val="000913E8"/>
    <w:rsid w:val="000955FE"/>
    <w:rsid w:val="000A7073"/>
    <w:rsid w:val="000C5425"/>
    <w:rsid w:val="000D135C"/>
    <w:rsid w:val="000D183D"/>
    <w:rsid w:val="000F0B96"/>
    <w:rsid w:val="000F240E"/>
    <w:rsid w:val="00121005"/>
    <w:rsid w:val="00137809"/>
    <w:rsid w:val="0014136C"/>
    <w:rsid w:val="001449AE"/>
    <w:rsid w:val="00156139"/>
    <w:rsid w:val="00157CF6"/>
    <w:rsid w:val="001671BA"/>
    <w:rsid w:val="0017009E"/>
    <w:rsid w:val="00180127"/>
    <w:rsid w:val="001A3A06"/>
    <w:rsid w:val="001A7BA0"/>
    <w:rsid w:val="001B1598"/>
    <w:rsid w:val="001B2CA6"/>
    <w:rsid w:val="001C0F8D"/>
    <w:rsid w:val="001C1620"/>
    <w:rsid w:val="001C391F"/>
    <w:rsid w:val="001D579A"/>
    <w:rsid w:val="001E5AB3"/>
    <w:rsid w:val="002157AA"/>
    <w:rsid w:val="00216E18"/>
    <w:rsid w:val="0021784A"/>
    <w:rsid w:val="0022643A"/>
    <w:rsid w:val="0023505C"/>
    <w:rsid w:val="00245C38"/>
    <w:rsid w:val="00250B09"/>
    <w:rsid w:val="00264E26"/>
    <w:rsid w:val="00273362"/>
    <w:rsid w:val="00274385"/>
    <w:rsid w:val="0028256C"/>
    <w:rsid w:val="00290ACC"/>
    <w:rsid w:val="002921F7"/>
    <w:rsid w:val="00294800"/>
    <w:rsid w:val="002A1587"/>
    <w:rsid w:val="002B0E84"/>
    <w:rsid w:val="002B4625"/>
    <w:rsid w:val="002B75E8"/>
    <w:rsid w:val="002C2852"/>
    <w:rsid w:val="002F1241"/>
    <w:rsid w:val="002F6273"/>
    <w:rsid w:val="0030208E"/>
    <w:rsid w:val="003121C6"/>
    <w:rsid w:val="003436FE"/>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4F0"/>
    <w:rsid w:val="00417586"/>
    <w:rsid w:val="00430005"/>
    <w:rsid w:val="004530E4"/>
    <w:rsid w:val="00453651"/>
    <w:rsid w:val="004551A2"/>
    <w:rsid w:val="00463A51"/>
    <w:rsid w:val="0048664A"/>
    <w:rsid w:val="00491B4A"/>
    <w:rsid w:val="00493F98"/>
    <w:rsid w:val="00495144"/>
    <w:rsid w:val="00496641"/>
    <w:rsid w:val="00497FEF"/>
    <w:rsid w:val="004A544F"/>
    <w:rsid w:val="004D0FE4"/>
    <w:rsid w:val="004D2399"/>
    <w:rsid w:val="004D7FC9"/>
    <w:rsid w:val="004E248D"/>
    <w:rsid w:val="004F088B"/>
    <w:rsid w:val="004F6F8A"/>
    <w:rsid w:val="0050626C"/>
    <w:rsid w:val="005147FC"/>
    <w:rsid w:val="00517439"/>
    <w:rsid w:val="00526546"/>
    <w:rsid w:val="00543D27"/>
    <w:rsid w:val="00545A56"/>
    <w:rsid w:val="005510F3"/>
    <w:rsid w:val="0056210A"/>
    <w:rsid w:val="0056414B"/>
    <w:rsid w:val="00574D7A"/>
    <w:rsid w:val="00574DD1"/>
    <w:rsid w:val="00577681"/>
    <w:rsid w:val="00582292"/>
    <w:rsid w:val="0059570B"/>
    <w:rsid w:val="005A76EE"/>
    <w:rsid w:val="005B2947"/>
    <w:rsid w:val="005C1E9E"/>
    <w:rsid w:val="005C44AA"/>
    <w:rsid w:val="005D1583"/>
    <w:rsid w:val="005D2BA9"/>
    <w:rsid w:val="005D3D9E"/>
    <w:rsid w:val="005D6CCF"/>
    <w:rsid w:val="005E5F2A"/>
    <w:rsid w:val="005F1DD5"/>
    <w:rsid w:val="0062173A"/>
    <w:rsid w:val="0062677E"/>
    <w:rsid w:val="00627416"/>
    <w:rsid w:val="00632671"/>
    <w:rsid w:val="006365A9"/>
    <w:rsid w:val="006773D0"/>
    <w:rsid w:val="0068123D"/>
    <w:rsid w:val="00681768"/>
    <w:rsid w:val="00681895"/>
    <w:rsid w:val="00682D24"/>
    <w:rsid w:val="00687AA2"/>
    <w:rsid w:val="00694874"/>
    <w:rsid w:val="006A1537"/>
    <w:rsid w:val="006A4099"/>
    <w:rsid w:val="006B0775"/>
    <w:rsid w:val="006C4BA3"/>
    <w:rsid w:val="006E787C"/>
    <w:rsid w:val="006F25A2"/>
    <w:rsid w:val="006F5D6C"/>
    <w:rsid w:val="006F6361"/>
    <w:rsid w:val="007078C5"/>
    <w:rsid w:val="00740B27"/>
    <w:rsid w:val="00755694"/>
    <w:rsid w:val="007639DA"/>
    <w:rsid w:val="00763C86"/>
    <w:rsid w:val="00775D25"/>
    <w:rsid w:val="007A0123"/>
    <w:rsid w:val="007B1D4B"/>
    <w:rsid w:val="007B7D7B"/>
    <w:rsid w:val="007E285C"/>
    <w:rsid w:val="007F005A"/>
    <w:rsid w:val="007F760C"/>
    <w:rsid w:val="00804556"/>
    <w:rsid w:val="00805702"/>
    <w:rsid w:val="008100D6"/>
    <w:rsid w:val="00826D68"/>
    <w:rsid w:val="00835BD1"/>
    <w:rsid w:val="00843423"/>
    <w:rsid w:val="008531BA"/>
    <w:rsid w:val="00854CFF"/>
    <w:rsid w:val="00855F72"/>
    <w:rsid w:val="0086089C"/>
    <w:rsid w:val="0086581B"/>
    <w:rsid w:val="00870B5F"/>
    <w:rsid w:val="0089466D"/>
    <w:rsid w:val="00895B9A"/>
    <w:rsid w:val="008A2426"/>
    <w:rsid w:val="008E5D9D"/>
    <w:rsid w:val="008F615F"/>
    <w:rsid w:val="009021F5"/>
    <w:rsid w:val="009063CE"/>
    <w:rsid w:val="00917284"/>
    <w:rsid w:val="00921CBA"/>
    <w:rsid w:val="00937074"/>
    <w:rsid w:val="009426BD"/>
    <w:rsid w:val="009436A4"/>
    <w:rsid w:val="00957CA3"/>
    <w:rsid w:val="00983A42"/>
    <w:rsid w:val="00983DAD"/>
    <w:rsid w:val="00987220"/>
    <w:rsid w:val="00987C6C"/>
    <w:rsid w:val="00996707"/>
    <w:rsid w:val="009A733A"/>
    <w:rsid w:val="009B1C05"/>
    <w:rsid w:val="009B3FFF"/>
    <w:rsid w:val="009B605A"/>
    <w:rsid w:val="009C7BD6"/>
    <w:rsid w:val="009D164C"/>
    <w:rsid w:val="009D5E0F"/>
    <w:rsid w:val="009D7B5C"/>
    <w:rsid w:val="009F5616"/>
    <w:rsid w:val="00A00C4C"/>
    <w:rsid w:val="00A02F0C"/>
    <w:rsid w:val="00A04A50"/>
    <w:rsid w:val="00A06BCE"/>
    <w:rsid w:val="00A105F1"/>
    <w:rsid w:val="00A165D1"/>
    <w:rsid w:val="00A33091"/>
    <w:rsid w:val="00A40B36"/>
    <w:rsid w:val="00A42171"/>
    <w:rsid w:val="00A6538D"/>
    <w:rsid w:val="00A72FB1"/>
    <w:rsid w:val="00A8047B"/>
    <w:rsid w:val="00A81096"/>
    <w:rsid w:val="00A82C40"/>
    <w:rsid w:val="00A90345"/>
    <w:rsid w:val="00A94AD3"/>
    <w:rsid w:val="00A94F07"/>
    <w:rsid w:val="00AA3043"/>
    <w:rsid w:val="00AB28DE"/>
    <w:rsid w:val="00AB326E"/>
    <w:rsid w:val="00AB5C71"/>
    <w:rsid w:val="00AB7549"/>
    <w:rsid w:val="00AC5C12"/>
    <w:rsid w:val="00AC5E60"/>
    <w:rsid w:val="00AD44EF"/>
    <w:rsid w:val="00AD6A02"/>
    <w:rsid w:val="00AF6806"/>
    <w:rsid w:val="00B21495"/>
    <w:rsid w:val="00B215EE"/>
    <w:rsid w:val="00B2430B"/>
    <w:rsid w:val="00B36721"/>
    <w:rsid w:val="00B45C9F"/>
    <w:rsid w:val="00B5592A"/>
    <w:rsid w:val="00B6763E"/>
    <w:rsid w:val="00B806A1"/>
    <w:rsid w:val="00B860B0"/>
    <w:rsid w:val="00B9416D"/>
    <w:rsid w:val="00BB6C9D"/>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476D"/>
    <w:rsid w:val="00C372F3"/>
    <w:rsid w:val="00C40CD0"/>
    <w:rsid w:val="00C52EDE"/>
    <w:rsid w:val="00C53A7B"/>
    <w:rsid w:val="00C55903"/>
    <w:rsid w:val="00C91765"/>
    <w:rsid w:val="00C96392"/>
    <w:rsid w:val="00CC396F"/>
    <w:rsid w:val="00CE5895"/>
    <w:rsid w:val="00CF2B5B"/>
    <w:rsid w:val="00D17879"/>
    <w:rsid w:val="00D26233"/>
    <w:rsid w:val="00D32C37"/>
    <w:rsid w:val="00D35EB4"/>
    <w:rsid w:val="00D4050F"/>
    <w:rsid w:val="00D44374"/>
    <w:rsid w:val="00D475F9"/>
    <w:rsid w:val="00D550F2"/>
    <w:rsid w:val="00D60D73"/>
    <w:rsid w:val="00D63250"/>
    <w:rsid w:val="00D66CD2"/>
    <w:rsid w:val="00D86F6D"/>
    <w:rsid w:val="00DA7EF8"/>
    <w:rsid w:val="00DB3975"/>
    <w:rsid w:val="00DB4711"/>
    <w:rsid w:val="00DE1210"/>
    <w:rsid w:val="00DE5160"/>
    <w:rsid w:val="00E03510"/>
    <w:rsid w:val="00E10871"/>
    <w:rsid w:val="00E13546"/>
    <w:rsid w:val="00E1767B"/>
    <w:rsid w:val="00E222AD"/>
    <w:rsid w:val="00E2244D"/>
    <w:rsid w:val="00E22E88"/>
    <w:rsid w:val="00E33957"/>
    <w:rsid w:val="00E46553"/>
    <w:rsid w:val="00E46A7C"/>
    <w:rsid w:val="00E633FE"/>
    <w:rsid w:val="00E8191A"/>
    <w:rsid w:val="00E84A51"/>
    <w:rsid w:val="00E94178"/>
    <w:rsid w:val="00EA3293"/>
    <w:rsid w:val="00EA439A"/>
    <w:rsid w:val="00EA6B94"/>
    <w:rsid w:val="00EA7FAC"/>
    <w:rsid w:val="00EB1484"/>
    <w:rsid w:val="00EC2853"/>
    <w:rsid w:val="00EC2C18"/>
    <w:rsid w:val="00EC59C8"/>
    <w:rsid w:val="00ED0499"/>
    <w:rsid w:val="00EE5A83"/>
    <w:rsid w:val="00EF67ED"/>
    <w:rsid w:val="00F00530"/>
    <w:rsid w:val="00F11E9B"/>
    <w:rsid w:val="00F16667"/>
    <w:rsid w:val="00F21243"/>
    <w:rsid w:val="00F25A3C"/>
    <w:rsid w:val="00F26DE2"/>
    <w:rsid w:val="00F53979"/>
    <w:rsid w:val="00F54298"/>
    <w:rsid w:val="00F7552A"/>
    <w:rsid w:val="00F80338"/>
    <w:rsid w:val="00F848DA"/>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39BD10"/>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 w:type="character" w:styleId="UnresolvedMention">
    <w:name w:val="Unresolved Mention"/>
    <w:uiPriority w:val="99"/>
    <w:semiHidden/>
    <w:unhideWhenUsed/>
    <w:rsid w:val="006E78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luzba.razvoj@zdk.ba"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98CBF-5B27-4383-91CC-507F8AD12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9</Pages>
  <Words>3524</Words>
  <Characters>20089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23566</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Salih Alispahic</cp:lastModifiedBy>
  <cp:revision>40</cp:revision>
  <cp:lastPrinted>2012-09-25T14:41:00Z</cp:lastPrinted>
  <dcterms:created xsi:type="dcterms:W3CDTF">2018-12-18T11:34:00Z</dcterms:created>
  <dcterms:modified xsi:type="dcterms:W3CDTF">2021-09-15T10:06:00Z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